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3D" w:rsidRDefault="001C31FD">
      <w:r>
        <w:t>A Summary of Our Findings:</w:t>
      </w:r>
    </w:p>
    <w:p w:rsidR="001C31FD" w:rsidRDefault="001C31FD"/>
    <w:p w:rsidR="00B323F2" w:rsidRDefault="001C31FD">
      <w:r>
        <w:t xml:space="preserve">Over a period of 30 years a vast amount of data has been collected and much of this is available in the papers which </w:t>
      </w:r>
      <w:r w:rsidR="00D160D5">
        <w:t>Professor Martin Haigh has</w:t>
      </w:r>
      <w:r>
        <w:t xml:space="preserve"> published.  </w:t>
      </w:r>
      <w:r w:rsidR="009F3BAF">
        <w:t>It must be emphasised that these are academic papers which have been peer-reviewed, involve the collaboration of researchers from several other countries but are perhaps unique in the level of involvement of volunteers from all walks of life</w:t>
      </w:r>
      <w:r w:rsidR="00B323F2">
        <w:t xml:space="preserve"> and </w:t>
      </w:r>
      <w:r w:rsidR="00D160D5">
        <w:t xml:space="preserve">from </w:t>
      </w:r>
      <w:r w:rsidR="00B323F2">
        <w:t>many parts of the world</w:t>
      </w:r>
      <w:r w:rsidR="009F3BAF">
        <w:t>.  One of the most recent of these papers</w:t>
      </w:r>
      <w:r w:rsidR="00B323F2">
        <w:t xml:space="preserve"> is available online and provides valuable information about our findings:</w:t>
      </w:r>
      <w:r w:rsidR="009F3BAF">
        <w:t xml:space="preserve"> </w:t>
      </w:r>
    </w:p>
    <w:p w:rsidR="001C31FD" w:rsidRDefault="00B323F2">
      <w:r>
        <w:t xml:space="preserve">Haigh, M.; Woodruffe, P.; D’Aucourt, M.; Alun, E.; Wilding, G.; Fitzpatrick, S.; </w:t>
      </w:r>
      <w:proofErr w:type="spellStart"/>
      <w:r>
        <w:t>Filcheva</w:t>
      </w:r>
      <w:proofErr w:type="spellEnd"/>
      <w:r>
        <w:t xml:space="preserve">, E.; </w:t>
      </w:r>
      <w:proofErr w:type="spellStart"/>
      <w:r>
        <w:t>Noustorova</w:t>
      </w:r>
      <w:proofErr w:type="spellEnd"/>
      <w:r>
        <w:t xml:space="preserve">, M. Successful Ecological Regeneration of Opencast Coal Mine Spoils through Forestation: From Cradle to Grove. Minerals 2020, 10, 461. </w:t>
      </w:r>
      <w:hyperlink r:id="rId6" w:history="1">
        <w:r w:rsidRPr="00050CB6">
          <w:rPr>
            <w:rStyle w:val="Hyperlink"/>
          </w:rPr>
          <w:t>https://doi.org/10.3390/min10050461</w:t>
        </w:r>
      </w:hyperlink>
    </w:p>
    <w:p w:rsidR="00D160D5" w:rsidRDefault="00D160D5"/>
    <w:p w:rsidR="00B323F2" w:rsidRDefault="00B323F2">
      <w:r>
        <w:t>Some of the important points discussed in the paper include:</w:t>
      </w:r>
    </w:p>
    <w:p w:rsidR="00D160D5" w:rsidRDefault="00D160D5"/>
    <w:p w:rsidR="00B323F2" w:rsidRPr="00D160D5" w:rsidRDefault="00D160D5" w:rsidP="00B323F2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 w:cs="Helvetica"/>
          <w:iCs/>
          <w:sz w:val="20"/>
          <w:szCs w:val="20"/>
        </w:rPr>
        <w:t xml:space="preserve">An </w:t>
      </w:r>
      <w:r w:rsidRPr="00D160D5">
        <w:rPr>
          <w:rFonts w:ascii="Helvetica" w:eastAsia="Times New Roman" w:hAnsi="Helvetica" w:cs="Helvetica"/>
          <w:iCs/>
          <w:sz w:val="20"/>
          <w:szCs w:val="20"/>
        </w:rPr>
        <w:t>evaluat</w:t>
      </w:r>
      <w:r>
        <w:rPr>
          <w:rFonts w:ascii="Helvetica" w:eastAsia="Times New Roman" w:hAnsi="Helvetica" w:cs="Helvetica"/>
          <w:iCs/>
          <w:sz w:val="20"/>
          <w:szCs w:val="20"/>
        </w:rPr>
        <w:t>ion of</w:t>
      </w:r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a community-oriented, low-cost means of </w:t>
      </w: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geoecological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regeneration, the “Cradle for Nature” strategy, which uses mosaic tree planting to foster positive natural ecological processes</w:t>
      </w:r>
      <w:r>
        <w:rPr>
          <w:rFonts w:ascii="Helvetica" w:eastAsia="Times New Roman" w:hAnsi="Helvetica" w:cs="Helvetica"/>
          <w:i/>
          <w:iCs/>
          <w:sz w:val="20"/>
          <w:szCs w:val="20"/>
        </w:rPr>
        <w:t>.</w:t>
      </w:r>
    </w:p>
    <w:p w:rsidR="00D160D5" w:rsidRPr="00D160D5" w:rsidRDefault="00D160D5" w:rsidP="00B323F2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 w:cs="Helvetica"/>
          <w:iCs/>
          <w:sz w:val="20"/>
          <w:szCs w:val="20"/>
        </w:rPr>
        <w:t>W</w:t>
      </w:r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hile the </w:t>
      </w: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autocompaction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of </w:t>
      </w: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minestones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quickly raises soil densities to levels hostile to plant growth, forestation helps moderate soil densities.</w:t>
      </w:r>
    </w:p>
    <w:p w:rsidR="00D160D5" w:rsidRPr="00D160D5" w:rsidRDefault="00D160D5" w:rsidP="00B323F2">
      <w:pPr>
        <w:pStyle w:val="ListParagraph"/>
        <w:numPr>
          <w:ilvl w:val="0"/>
          <w:numId w:val="1"/>
        </w:numPr>
      </w:pPr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Weathering concentrates metals in </w:t>
      </w: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minestones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>, but 14 years of forestation reduced the loadings of five metals by 35–52%</w:t>
      </w:r>
    </w:p>
    <w:p w:rsidR="00D160D5" w:rsidRPr="00D160D5" w:rsidRDefault="00D160D5" w:rsidP="00B323F2">
      <w:pPr>
        <w:pStyle w:val="ListParagraph"/>
        <w:numPr>
          <w:ilvl w:val="0"/>
          <w:numId w:val="1"/>
        </w:numPr>
      </w:pPr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Twenty years of forestation doubled soil organic carbon to &gt;7%; increased bacilli from 7% to 46%; </w:t>
      </w: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actinomycetes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from 10% to 26%; and soil microbe counts 12–15 times, especially in tree plantings treated with fertiliser.</w:t>
      </w:r>
    </w:p>
    <w:p w:rsidR="00D160D5" w:rsidRPr="00D160D5" w:rsidRDefault="00D160D5" w:rsidP="00B323F2">
      <w:pPr>
        <w:pStyle w:val="ListParagraph"/>
        <w:numPr>
          <w:ilvl w:val="0"/>
          <w:numId w:val="1"/>
        </w:numPr>
      </w:pPr>
      <w:r w:rsidRPr="00D160D5">
        <w:rPr>
          <w:rFonts w:ascii="Helvetica" w:eastAsia="Times New Roman" w:hAnsi="Helvetica" w:cs="Helvetica"/>
          <w:iCs/>
          <w:sz w:val="20"/>
          <w:szCs w:val="20"/>
        </w:rPr>
        <w:t>Soils under trees also supported a significantly greater earthworm biomass than under grass but, while open-canopy plantings had increased ground flora biodiversity, closed-canopy plantings had lower diversity and biomass</w:t>
      </w:r>
      <w:r>
        <w:rPr>
          <w:rFonts w:ascii="Helvetica" w:eastAsia="Times New Roman" w:hAnsi="Helvetica" w:cs="Helvetica"/>
          <w:iCs/>
          <w:sz w:val="20"/>
          <w:szCs w:val="20"/>
        </w:rPr>
        <w:t>.</w:t>
      </w:r>
    </w:p>
    <w:p w:rsidR="00D160D5" w:rsidRPr="00D160D5" w:rsidRDefault="00D160D5" w:rsidP="00B323F2">
      <w:pPr>
        <w:pStyle w:val="ListParagraph"/>
        <w:numPr>
          <w:ilvl w:val="0"/>
          <w:numId w:val="1"/>
        </w:numPr>
      </w:pPr>
      <w:r w:rsidRPr="00D160D5">
        <w:rPr>
          <w:rFonts w:ascii="Helvetica" w:eastAsia="Times New Roman" w:hAnsi="Helvetica" w:cs="Helvetica"/>
          <w:iCs/>
          <w:sz w:val="20"/>
          <w:szCs w:val="20"/>
        </w:rPr>
        <w:t>Following closure to grazing, ground biomass increased sevenfold.</w:t>
      </w:r>
    </w:p>
    <w:p w:rsidR="00D160D5" w:rsidRPr="00D160D5" w:rsidRDefault="00D160D5" w:rsidP="00B323F2">
      <w:pPr>
        <w:pStyle w:val="ListParagraph"/>
        <w:numPr>
          <w:ilvl w:val="0"/>
          <w:numId w:val="1"/>
        </w:numPr>
      </w:pPr>
      <w:r w:rsidRPr="00D160D5">
        <w:rPr>
          <w:rFonts w:ascii="Helvetica" w:eastAsia="Times New Roman" w:hAnsi="Helvetica" w:cs="Helvetica"/>
          <w:iCs/>
          <w:sz w:val="20"/>
          <w:szCs w:val="20"/>
        </w:rPr>
        <w:t>Young trees act as bird perches and significantly increase seed fall. Small mammal biomass and biodiversity increases after tree planting and higher predators appear.</w:t>
      </w:r>
    </w:p>
    <w:p w:rsidR="00D160D5" w:rsidRDefault="00D160D5" w:rsidP="00D160D5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iCs/>
          <w:sz w:val="20"/>
          <w:szCs w:val="20"/>
        </w:rPr>
      </w:pP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Varteg’s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constructed forest provides an effective “cradle” for an emergent </w:t>
      </w:r>
      <w:proofErr w:type="spellStart"/>
      <w:r w:rsidRPr="00D160D5">
        <w:rPr>
          <w:rFonts w:ascii="Helvetica" w:eastAsia="Times New Roman" w:hAnsi="Helvetica" w:cs="Helvetica"/>
          <w:iCs/>
          <w:sz w:val="20"/>
          <w:szCs w:val="20"/>
        </w:rPr>
        <w:t>geoecological</w:t>
      </w:r>
      <w:proofErr w:type="spellEnd"/>
      <w:r w:rsidRPr="00D160D5">
        <w:rPr>
          <w:rFonts w:ascii="Helvetica" w:eastAsia="Times New Roman" w:hAnsi="Helvetica" w:cs="Helvetica"/>
          <w:iCs/>
          <w:sz w:val="20"/>
          <w:szCs w:val="20"/>
        </w:rPr>
        <w:t xml:space="preserve"> system and its habitat mosaic maximises biodiversity</w:t>
      </w:r>
    </w:p>
    <w:p w:rsidR="00D160D5" w:rsidRDefault="00D160D5" w:rsidP="00D160D5">
      <w:pPr>
        <w:rPr>
          <w:rFonts w:ascii="Helvetica" w:eastAsia="Times New Roman" w:hAnsi="Helvetica" w:cs="Helvetica"/>
          <w:iCs/>
          <w:sz w:val="20"/>
          <w:szCs w:val="20"/>
        </w:rPr>
      </w:pPr>
    </w:p>
    <w:p w:rsidR="00D160D5" w:rsidRPr="00D160D5" w:rsidRDefault="00D160D5" w:rsidP="00D160D5">
      <w:pPr>
        <w:rPr>
          <w:rFonts w:ascii="Helvetica" w:eastAsia="Times New Roman" w:hAnsi="Helvetica" w:cs="Helvetica"/>
          <w:iCs/>
          <w:sz w:val="20"/>
          <w:szCs w:val="20"/>
        </w:rPr>
      </w:pPr>
    </w:p>
    <w:p w:rsidR="00D160D5" w:rsidRDefault="00D160D5" w:rsidP="00D160D5">
      <w:r>
        <w:t xml:space="preserve">This paper also cites others which can provide additional details of various aspects of the work.  </w:t>
      </w:r>
    </w:p>
    <w:p w:rsidR="001D2D6C" w:rsidRDefault="001D2D6C" w:rsidP="00D160D5">
      <w:r>
        <w:t>Also published in 2020 was a second paper of a more general nature in which the concept of using the information gleaned over many years to help in the reclamation of other parts of the South Wales coalfield, so creating a wildlife corridor across the southern part of the country</w:t>
      </w:r>
      <w:r w:rsidR="004E3058">
        <w:t>,</w:t>
      </w:r>
      <w:r w:rsidR="004E3058" w:rsidRPr="004E3058">
        <w:t xml:space="preserve"> </w:t>
      </w:r>
      <w:r w:rsidR="004E3058">
        <w:t>was discussed</w:t>
      </w:r>
      <w:r>
        <w:t xml:space="preserve">.  </w:t>
      </w:r>
    </w:p>
    <w:p w:rsidR="001D2D6C" w:rsidRDefault="001D2D6C" w:rsidP="001D2D6C">
      <w:r>
        <w:t>Haigh, M., Woodruffe, P. &amp; D’Aucourt, M. 2020. A new wildlife corridor for the South Wales Coalfield: Repurposing Wales’ opencast coal-lands. Conservation Land Management (NHBS) 18(4), 16-23</w:t>
      </w:r>
      <w:r w:rsidR="004E3058">
        <w:t>.</w:t>
      </w:r>
      <w:r>
        <w:t xml:space="preserve">  This paper is available as a back issue from Natural History Book Store (NHBS) email: </w:t>
      </w:r>
      <w:hyperlink r:id="rId7" w:history="1">
        <w:r w:rsidRPr="004E3058">
          <w:rPr>
            <w:rStyle w:val="Hyperlink"/>
            <w:color w:val="0070C0"/>
          </w:rPr>
          <w:t>enquiries@britishwildlife.com</w:t>
        </w:r>
      </w:hyperlink>
      <w:r>
        <w:t xml:space="preserve">   Further information can also be obtained by contacting </w:t>
      </w:r>
      <w:r w:rsidR="004E3058">
        <w:t xml:space="preserve">the </w:t>
      </w:r>
      <w:proofErr w:type="gramStart"/>
      <w:r w:rsidR="004E3058">
        <w:t xml:space="preserve">authors </w:t>
      </w:r>
      <w:r>
        <w:t xml:space="preserve"> directly</w:t>
      </w:r>
      <w:proofErr w:type="gramEnd"/>
      <w:r>
        <w:t xml:space="preserve"> at </w:t>
      </w:r>
      <w:r w:rsidR="004251A1" w:rsidRPr="004251A1">
        <w:rPr>
          <w:color w:val="0070C0"/>
        </w:rPr>
        <w:t>cradlefornature@gmail.com</w:t>
      </w:r>
      <w:bookmarkStart w:id="0" w:name="_GoBack"/>
      <w:bookmarkEnd w:id="0"/>
    </w:p>
    <w:p w:rsidR="001C31FD" w:rsidRDefault="001C31FD"/>
    <w:p w:rsidR="001C31FD" w:rsidRDefault="001C31FD"/>
    <w:p w:rsidR="001C31FD" w:rsidRDefault="001C31FD"/>
    <w:p w:rsidR="001C31FD" w:rsidRDefault="001C31FD"/>
    <w:p w:rsidR="001C31FD" w:rsidRDefault="001C31FD"/>
    <w:p w:rsidR="001C31FD" w:rsidRDefault="001C31FD"/>
    <w:p w:rsidR="001C31FD" w:rsidRDefault="001C31FD"/>
    <w:sectPr w:rsidR="001C31FD" w:rsidSect="001C31FD">
      <w:pgSz w:w="11906" w:h="16838"/>
      <w:pgMar w:top="993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75F4"/>
    <w:multiLevelType w:val="hybridMultilevel"/>
    <w:tmpl w:val="AB2E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FD"/>
    <w:rsid w:val="001C31FD"/>
    <w:rsid w:val="001D2D6C"/>
    <w:rsid w:val="00324C3D"/>
    <w:rsid w:val="004251A1"/>
    <w:rsid w:val="004E3058"/>
    <w:rsid w:val="009F3BAF"/>
    <w:rsid w:val="00B323F2"/>
    <w:rsid w:val="00D1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94D92-C4B1-4D21-B062-2D20E88E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3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quiries@britishwildlif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min10050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00BB-7BE3-4892-B696-14A3F8C4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2022-06-15T20:06:00Z</dcterms:created>
  <dcterms:modified xsi:type="dcterms:W3CDTF">2022-06-15T21:08:00Z</dcterms:modified>
</cp:coreProperties>
</file>